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34426A8" w:rsidR="00733576" w:rsidRPr="00733576" w:rsidRDefault="00733576" w:rsidP="00164F3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64F35">
              <w:rPr>
                <w:rFonts w:ascii="Verdana" w:hAnsi="Verdana"/>
                <w:b/>
                <w:sz w:val="20"/>
              </w:rPr>
              <w:t>188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164F35">
              <w:rPr>
                <w:rFonts w:ascii="Verdana" w:hAnsi="Verdana"/>
                <w:b/>
                <w:sz w:val="20"/>
              </w:rPr>
              <w:t>2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C6B1A96" w:rsidR="007A27C5" w:rsidRPr="007A27C5" w:rsidRDefault="00164F3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PRORROGA VIGÊNCIA DA PORTARIA 147/2016/</w:t>
      </w:r>
      <w:r w:rsidR="007A27C5" w:rsidRPr="007A27C5">
        <w:rPr>
          <w:rFonts w:ascii="Verdana" w:hAnsi="Verdana"/>
          <w:b/>
          <w:sz w:val="20"/>
          <w:szCs w:val="20"/>
        </w:rPr>
        <w:t>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029B2D62" w14:textId="3082F243" w:rsidR="007A27C5" w:rsidRPr="00164F35" w:rsidRDefault="007A27C5" w:rsidP="007A27C5">
      <w:pPr>
        <w:jc w:val="both"/>
        <w:rPr>
          <w:rFonts w:ascii="Verdana" w:hAnsi="Verdana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  </w:t>
      </w:r>
    </w:p>
    <w:p w14:paraId="6CE88D55" w14:textId="77777777" w:rsidR="00164F35" w:rsidRDefault="00164F3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A94BBE6" w14:textId="77777777" w:rsidR="00164F35" w:rsidRDefault="00164F35" w:rsidP="007A27C5">
      <w:pPr>
        <w:jc w:val="both"/>
        <w:rPr>
          <w:rFonts w:ascii="Verdana" w:hAnsi="Verdana"/>
          <w:sz w:val="20"/>
          <w:szCs w:val="20"/>
        </w:rPr>
      </w:pPr>
    </w:p>
    <w:p w14:paraId="6F5BB969" w14:textId="53BFFCB4" w:rsidR="00164F35" w:rsidRDefault="00164F35" w:rsidP="00164F35">
      <w:pPr>
        <w:pStyle w:val="PargrafodaLista"/>
        <w:numPr>
          <w:ilvl w:val="0"/>
          <w:numId w:val="7"/>
        </w:numPr>
        <w:jc w:val="both"/>
        <w:rPr>
          <w:rFonts w:ascii="Verdana" w:hAnsi="Verdana"/>
        </w:rPr>
      </w:pPr>
      <w:r w:rsidRPr="00164F35">
        <w:rPr>
          <w:rFonts w:ascii="Verdana" w:hAnsi="Verdana"/>
        </w:rPr>
        <w:t xml:space="preserve">Prorrogar a vigência da Portaria 147/2016/CAV, de 14/06/2016, que designou a </w:t>
      </w:r>
      <w:r w:rsidRPr="00164F35">
        <w:rPr>
          <w:rFonts w:ascii="Verdana" w:hAnsi="Verdana"/>
        </w:rPr>
        <w:t>Comissão encarregada de atualizar o Plano Estratégico do CAV (Plano 20) – 2015/2035 e o Plano de Desenvolvimento Institucional do CAV – 2015/2019</w:t>
      </w:r>
      <w:r>
        <w:rPr>
          <w:rFonts w:ascii="Verdana" w:hAnsi="Verdana"/>
        </w:rPr>
        <w:t xml:space="preserve"> para </w:t>
      </w:r>
      <w:r w:rsidRPr="00164F35">
        <w:rPr>
          <w:rFonts w:ascii="Verdana" w:hAnsi="Verdana"/>
          <w:b/>
          <w:u w:val="single"/>
        </w:rPr>
        <w:t>31/12/2017.</w:t>
      </w: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F92BF1" w14:textId="77777777" w:rsidR="00164F35" w:rsidRDefault="00164F3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01777AB" w14:textId="77777777" w:rsidR="00164F35" w:rsidRDefault="00164F3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64F35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04DE7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C1B36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90B5C"/>
    <w:rsid w:val="00BB2EC7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A63E-6696-4593-8B68-998E1B6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2017-05-12T13:18:00Z</cp:lastPrinted>
  <dcterms:created xsi:type="dcterms:W3CDTF">2017-05-12T13:11:00Z</dcterms:created>
  <dcterms:modified xsi:type="dcterms:W3CDTF">2017-05-12T13:18:00Z</dcterms:modified>
</cp:coreProperties>
</file>